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74"/>
        <w:gridCol w:w="1926"/>
      </w:tblGrid>
      <w:tr w:rsidR="000A0ECD" w14:paraId="65FBB6E3" w14:textId="17929E31" w:rsidTr="000A0ECD">
        <w:trPr>
          <w:trHeight w:val="1530"/>
        </w:trPr>
        <w:tc>
          <w:tcPr>
            <w:tcW w:w="4122" w:type="pct"/>
            <w:vAlign w:val="center"/>
          </w:tcPr>
          <w:p w14:paraId="162170EE" w14:textId="7B9BD2B1" w:rsidR="000A0ECD" w:rsidRPr="000629C6" w:rsidRDefault="000A0ECD" w:rsidP="000A0ECD">
            <w:pPr>
              <w:spacing w:after="16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A0ECD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  <w:t>Embodying Antiracism Principles and Practice</w:t>
            </w:r>
            <w:r w:rsidR="00496C9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  <w:t>s</w:t>
            </w:r>
            <w:r w:rsidRPr="000A0ECD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  <w:t xml:space="preserve"> in Evaluation </w:t>
            </w:r>
          </w:p>
          <w:p w14:paraId="66E122AA" w14:textId="2B73BDEC" w:rsidR="000A0ECD" w:rsidRPr="000A0ECD" w:rsidRDefault="000A0ECD" w:rsidP="000A0ECD">
            <w:pPr>
              <w:spacing w:after="160"/>
              <w:rPr>
                <w:rFonts w:ascii="Times New Roman" w:eastAsia="Times New Roman" w:hAnsi="Times New Roman" w:cs="Times New Roman"/>
              </w:rPr>
            </w:pPr>
            <w:r w:rsidRPr="00FA06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Statement by Washington Evaluators Board – Effective August 2020</w:t>
            </w:r>
          </w:p>
        </w:tc>
        <w:tc>
          <w:tcPr>
            <w:tcW w:w="878" w:type="pct"/>
          </w:tcPr>
          <w:p w14:paraId="6ECB8701" w14:textId="2F945536" w:rsidR="000A0ECD" w:rsidRPr="000A0ECD" w:rsidRDefault="000A0ECD" w:rsidP="000A0ECD">
            <w:pPr>
              <w:spacing w:after="1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895CD0F" wp14:editId="73BBC0CD">
                  <wp:extent cx="1076325" cy="1076325"/>
                  <wp:effectExtent l="0" t="0" r="9525" b="952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96CDEB" w14:textId="5C076035" w:rsidR="000629C6" w:rsidRDefault="008D265C" w:rsidP="000629C6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Washington Evaluators</w:t>
      </w:r>
      <w:r w:rsidR="000629C6" w:rsidRPr="000629C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A458D0">
        <w:rPr>
          <w:rFonts w:ascii="Arial" w:eastAsia="Times New Roman" w:hAnsi="Arial" w:cs="Arial"/>
          <w:color w:val="222222"/>
          <w:sz w:val="24"/>
          <w:szCs w:val="24"/>
        </w:rPr>
        <w:t xml:space="preserve">(WE) </w:t>
      </w:r>
      <w:r w:rsidR="000629C6" w:rsidRPr="000629C6">
        <w:rPr>
          <w:rFonts w:ascii="Arial" w:eastAsia="Times New Roman" w:hAnsi="Arial" w:cs="Arial"/>
          <w:color w:val="222222"/>
          <w:sz w:val="24"/>
          <w:szCs w:val="24"/>
        </w:rPr>
        <w:t>understand</w:t>
      </w:r>
      <w:r>
        <w:rPr>
          <w:rFonts w:ascii="Arial" w:eastAsia="Times New Roman" w:hAnsi="Arial" w:cs="Arial"/>
          <w:color w:val="222222"/>
          <w:sz w:val="24"/>
          <w:szCs w:val="24"/>
        </w:rPr>
        <w:t>s</w:t>
      </w:r>
      <w:r w:rsidR="000629C6" w:rsidRPr="000629C6">
        <w:rPr>
          <w:rFonts w:ascii="Arial" w:eastAsia="Times New Roman" w:hAnsi="Arial" w:cs="Arial"/>
          <w:color w:val="222222"/>
          <w:sz w:val="24"/>
          <w:szCs w:val="24"/>
        </w:rPr>
        <w:t xml:space="preserve"> that evaluation training and practice are privileges that are not exempt from systemic oppression—that oppression pervades our environments, hides beneath data, and emerges in biases. </w:t>
      </w:r>
      <w:r w:rsidR="000629C6" w:rsidRPr="000629C6">
        <w:rPr>
          <w:rFonts w:ascii="Arial" w:eastAsia="Times New Roman" w:hAnsi="Arial" w:cs="Arial"/>
          <w:color w:val="000000"/>
          <w:sz w:val="24"/>
          <w:szCs w:val="24"/>
        </w:rPr>
        <w:t xml:space="preserve">We are committed to upholding the principles </w:t>
      </w:r>
      <w:r w:rsidR="000A0ECD">
        <w:rPr>
          <w:rFonts w:ascii="Arial" w:eastAsia="Times New Roman" w:hAnsi="Arial" w:cs="Arial"/>
          <w:color w:val="000000"/>
          <w:sz w:val="24"/>
          <w:szCs w:val="24"/>
        </w:rPr>
        <w:t xml:space="preserve">and practices </w:t>
      </w:r>
      <w:r w:rsidR="000629C6" w:rsidRPr="000629C6">
        <w:rPr>
          <w:rFonts w:ascii="Arial" w:eastAsia="Times New Roman" w:hAnsi="Arial" w:cs="Arial"/>
          <w:color w:val="000000"/>
          <w:sz w:val="24"/>
          <w:szCs w:val="24"/>
        </w:rPr>
        <w:t>of antiracism</w:t>
      </w:r>
      <w:r w:rsidR="00FA06C7">
        <w:rPr>
          <w:rStyle w:val="FootnoteReference"/>
          <w:rFonts w:ascii="Arial" w:eastAsia="Times New Roman" w:hAnsi="Arial" w:cs="Arial"/>
          <w:color w:val="000000"/>
          <w:sz w:val="24"/>
          <w:szCs w:val="24"/>
        </w:rPr>
        <w:footnoteReference w:id="1"/>
      </w:r>
      <w:r w:rsidR="000629C6" w:rsidRPr="000629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A0ECD">
        <w:rPr>
          <w:rFonts w:ascii="Arial" w:eastAsia="Times New Roman" w:hAnsi="Arial" w:cs="Arial"/>
          <w:color w:val="000000"/>
          <w:sz w:val="24"/>
          <w:szCs w:val="24"/>
        </w:rPr>
        <w:t xml:space="preserve">through </w:t>
      </w:r>
      <w:r w:rsidR="000629C6" w:rsidRPr="000629C6">
        <w:rPr>
          <w:rFonts w:ascii="Arial" w:eastAsia="Times New Roman" w:hAnsi="Arial" w:cs="Arial"/>
          <w:color w:val="000000"/>
          <w:sz w:val="24"/>
          <w:szCs w:val="24"/>
        </w:rPr>
        <w:t xml:space="preserve">diversity, inclusion, representation, </w:t>
      </w:r>
      <w:r w:rsidR="00A458D0">
        <w:rPr>
          <w:rFonts w:ascii="Arial" w:eastAsia="Times New Roman" w:hAnsi="Arial" w:cs="Arial"/>
          <w:color w:val="000000"/>
          <w:sz w:val="24"/>
          <w:szCs w:val="24"/>
        </w:rPr>
        <w:t xml:space="preserve">justice, </w:t>
      </w:r>
      <w:r w:rsidR="000629C6" w:rsidRPr="000629C6">
        <w:rPr>
          <w:rFonts w:ascii="Arial" w:eastAsia="Times New Roman" w:hAnsi="Arial" w:cs="Arial"/>
          <w:color w:val="000000"/>
          <w:sz w:val="24"/>
          <w:szCs w:val="24"/>
        </w:rPr>
        <w:t>and equity in our programs, marketing, events, membership, and community engagement.</w:t>
      </w:r>
    </w:p>
    <w:p w14:paraId="47832D19" w14:textId="66B19A93" w:rsidR="008D265C" w:rsidRDefault="008D265C" w:rsidP="000629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83D424" w14:textId="77777777" w:rsidR="006B2321" w:rsidRPr="000629C6" w:rsidRDefault="006B2321" w:rsidP="000629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F5D9EC" w14:textId="41CA63E6" w:rsidR="000629C6" w:rsidRPr="000629C6" w:rsidRDefault="008D265C" w:rsidP="000629C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Our</w:t>
      </w:r>
      <w:r w:rsidR="000629C6" w:rsidRPr="000629C6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Commitments</w:t>
      </w:r>
      <w:r w:rsidR="000629C6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 w:rsidR="00A458D0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to </w:t>
      </w:r>
      <w:r w:rsidR="000A0ECD">
        <w:rPr>
          <w:rFonts w:ascii="Arial" w:eastAsia="Times New Roman" w:hAnsi="Arial" w:cs="Arial"/>
          <w:b/>
          <w:bCs/>
          <w:color w:val="222222"/>
          <w:sz w:val="24"/>
          <w:szCs w:val="24"/>
        </w:rPr>
        <w:t>Doing the Work</w:t>
      </w:r>
      <w:r w:rsidR="000629C6" w:rsidRPr="000629C6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</w:p>
    <w:p w14:paraId="6DB5F784" w14:textId="443A9AB9" w:rsidR="000629C6" w:rsidRDefault="000629C6" w:rsidP="000629C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9C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6"/>
        <w:gridCol w:w="9504"/>
      </w:tblGrid>
      <w:tr w:rsidR="000629C6" w14:paraId="3EF33A13" w14:textId="77777777" w:rsidTr="000629C6">
        <w:tc>
          <w:tcPr>
            <w:tcW w:w="600" w:type="pct"/>
            <w:vAlign w:val="center"/>
          </w:tcPr>
          <w:p w14:paraId="3FCA8FE2" w14:textId="6F3D3B16" w:rsidR="000629C6" w:rsidRDefault="000629C6" w:rsidP="000629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9C6">
              <w:rPr>
                <w:rFonts w:ascii="Arial" w:eastAsia="Times New Roman" w:hAnsi="Arial" w:cs="Arial"/>
                <w:b/>
                <w:bCs/>
                <w:noProof/>
                <w:color w:val="222222"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1B10A89D" wp14:editId="69215EFB">
                  <wp:extent cx="685800" cy="6858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0" w:type="pct"/>
            <w:vAlign w:val="center"/>
          </w:tcPr>
          <w:p w14:paraId="58FEB85A" w14:textId="29F20DDD" w:rsidR="000629C6" w:rsidRDefault="000629C6" w:rsidP="000629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9C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LISTEN</w:t>
            </w:r>
            <w:r w:rsidRPr="000629C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: We will listen to our Black, Indigenous, People of Color (BIPOC) community members to understand their perspectives, ideas, and lived experiences in relation to diversity, equity, </w:t>
            </w:r>
            <w:r w:rsidR="00FA06C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justice, </w:t>
            </w:r>
            <w:r w:rsidRPr="000629C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and inclusion in evaluation. </w:t>
            </w:r>
          </w:p>
        </w:tc>
      </w:tr>
      <w:tr w:rsidR="000629C6" w14:paraId="501B6B80" w14:textId="77777777" w:rsidTr="000629C6">
        <w:tc>
          <w:tcPr>
            <w:tcW w:w="600" w:type="pct"/>
            <w:vAlign w:val="center"/>
          </w:tcPr>
          <w:p w14:paraId="1407BB87" w14:textId="37324F7A" w:rsidR="000629C6" w:rsidRDefault="000629C6" w:rsidP="000629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9C6">
              <w:rPr>
                <w:rFonts w:ascii="Arial" w:eastAsia="Times New Roman" w:hAnsi="Arial" w:cs="Arial"/>
                <w:b/>
                <w:bCs/>
                <w:noProof/>
                <w:color w:val="222222"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201FDE27" wp14:editId="019A480D">
                  <wp:extent cx="685800" cy="6858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0" w:type="pct"/>
            <w:vAlign w:val="center"/>
          </w:tcPr>
          <w:p w14:paraId="07B1EE9B" w14:textId="76892E4C" w:rsidR="000629C6" w:rsidRDefault="000629C6" w:rsidP="000629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9C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LEARN</w:t>
            </w:r>
            <w:r w:rsidRPr="000629C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: We will do the work—on an individual and organizational level—to identify our complicity in the current system and enable actions that integrate antiracist </w:t>
            </w:r>
            <w:r w:rsidR="000A0EC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principles and </w:t>
            </w:r>
            <w:r w:rsidRPr="000629C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practices into our personal and professional lives. </w:t>
            </w:r>
          </w:p>
        </w:tc>
      </w:tr>
      <w:tr w:rsidR="000629C6" w14:paraId="4B0A7B69" w14:textId="77777777" w:rsidTr="000629C6">
        <w:tc>
          <w:tcPr>
            <w:tcW w:w="600" w:type="pct"/>
            <w:vAlign w:val="center"/>
          </w:tcPr>
          <w:p w14:paraId="46F7FA5F" w14:textId="64EF1DBF" w:rsidR="000629C6" w:rsidRDefault="000629C6" w:rsidP="000629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9C6">
              <w:rPr>
                <w:rFonts w:ascii="Arial" w:eastAsia="Times New Roman" w:hAnsi="Arial" w:cs="Arial"/>
                <w:b/>
                <w:bCs/>
                <w:noProof/>
                <w:color w:val="222222"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4455073F" wp14:editId="0D03D415">
                  <wp:extent cx="685800" cy="6858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0" w:type="pct"/>
            <w:vAlign w:val="center"/>
          </w:tcPr>
          <w:p w14:paraId="324CE56E" w14:textId="2DF8D3C6" w:rsidR="000629C6" w:rsidRDefault="000629C6" w:rsidP="000629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9C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GROW: </w:t>
            </w:r>
            <w:r w:rsidRPr="000629C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We will use our knowledge and position to advance positive contributions within the evaluation community</w:t>
            </w:r>
            <w:proofErr w:type="gramStart"/>
            <w:r w:rsidRPr="000629C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, as a whole, that</w:t>
            </w:r>
            <w:proofErr w:type="gramEnd"/>
            <w:r w:rsidRPr="000629C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increase equity in communities of practice, principles, and policies.</w:t>
            </w:r>
          </w:p>
        </w:tc>
      </w:tr>
      <w:tr w:rsidR="000629C6" w14:paraId="485966DC" w14:textId="77777777" w:rsidTr="000629C6">
        <w:tc>
          <w:tcPr>
            <w:tcW w:w="600" w:type="pct"/>
            <w:vAlign w:val="center"/>
          </w:tcPr>
          <w:p w14:paraId="6C2D4BCD" w14:textId="0EB3913F" w:rsidR="000629C6" w:rsidRDefault="000629C6" w:rsidP="000629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9C6"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19D7E11A" wp14:editId="09E36A4E">
                  <wp:extent cx="685800" cy="6858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0" w:type="pct"/>
            <w:vAlign w:val="center"/>
          </w:tcPr>
          <w:p w14:paraId="20C1DD74" w14:textId="0D7BFB2B" w:rsidR="000629C6" w:rsidRDefault="000629C6" w:rsidP="000629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9C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SHARE</w:t>
            </w:r>
            <w:r w:rsidRPr="000629C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: We will amplify antiracist methodologies and practices in evaluation through our website, weekly digest, social media, AEA network, and professional development opportunities.</w:t>
            </w:r>
          </w:p>
        </w:tc>
      </w:tr>
    </w:tbl>
    <w:p w14:paraId="79FF7611" w14:textId="333BC5BD" w:rsidR="000629C6" w:rsidRDefault="000629C6" w:rsidP="000629C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1DA0E1" w14:textId="77777777" w:rsidR="006B2321" w:rsidRDefault="006B2321" w:rsidP="000629C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840C5D" w14:textId="4F446EBE" w:rsidR="008D265C" w:rsidRDefault="006B2321" w:rsidP="000629C6">
      <w:pPr>
        <w:spacing w:after="16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Our </w:t>
      </w:r>
      <w:r w:rsidR="00FA06C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Pathway </w:t>
      </w:r>
      <w:r w:rsidR="000A0ECD">
        <w:rPr>
          <w:rFonts w:ascii="Arial" w:eastAsia="Times New Roman" w:hAnsi="Arial" w:cs="Arial"/>
          <w:b/>
          <w:bCs/>
          <w:color w:val="222222"/>
          <w:sz w:val="24"/>
          <w:szCs w:val="24"/>
        </w:rPr>
        <w:t>Toward</w:t>
      </w:r>
      <w:r w:rsidR="00FA06C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Progress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3601"/>
        <w:gridCol w:w="3599"/>
      </w:tblGrid>
      <w:tr w:rsidR="008D265C" w14:paraId="362A8937" w14:textId="7360B3F4" w:rsidTr="008D265C">
        <w:tc>
          <w:tcPr>
            <w:tcW w:w="1667" w:type="pct"/>
            <w:vAlign w:val="center"/>
          </w:tcPr>
          <w:p w14:paraId="3BD297BE" w14:textId="0740AC09" w:rsidR="008D265C" w:rsidRDefault="00FA06C7" w:rsidP="008D265C">
            <w:pPr>
              <w:spacing w:after="160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22222"/>
                <w:sz w:val="24"/>
                <w:szCs w:val="24"/>
              </w:rPr>
              <w:drawing>
                <wp:inline distT="0" distB="0" distL="0" distR="0" wp14:anchorId="57148CA4" wp14:editId="4A645255">
                  <wp:extent cx="914400" cy="914400"/>
                  <wp:effectExtent l="0" t="0" r="0" b="0"/>
                  <wp:docPr id="31" name="Graphic 31" descr="Group brainsto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phic 25" descr="Group brainstorm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vAlign w:val="center"/>
          </w:tcPr>
          <w:p w14:paraId="19142DB7" w14:textId="53C1CAFF" w:rsidR="008D265C" w:rsidRDefault="00FA06C7" w:rsidP="008D265C">
            <w:pPr>
              <w:spacing w:after="160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22222"/>
                <w:sz w:val="24"/>
                <w:szCs w:val="24"/>
              </w:rPr>
              <w:drawing>
                <wp:inline distT="0" distB="0" distL="0" distR="0" wp14:anchorId="4C958DF9" wp14:editId="20747488">
                  <wp:extent cx="914400" cy="914400"/>
                  <wp:effectExtent l="0" t="0" r="0" b="0"/>
                  <wp:docPr id="28" name="Graphic 28" descr="Magnifying gl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Graphic 27" descr="Magnifying glass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vAlign w:val="center"/>
          </w:tcPr>
          <w:p w14:paraId="5FE4918C" w14:textId="422E5061" w:rsidR="008D265C" w:rsidRDefault="00FA06C7" w:rsidP="008D265C">
            <w:pPr>
              <w:spacing w:after="160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22222"/>
                <w:sz w:val="24"/>
                <w:szCs w:val="24"/>
              </w:rPr>
              <w:drawing>
                <wp:inline distT="0" distB="0" distL="0" distR="0" wp14:anchorId="05CE7A6D" wp14:editId="5D3B4B43">
                  <wp:extent cx="914400" cy="914400"/>
                  <wp:effectExtent l="0" t="0" r="0" b="0"/>
                  <wp:docPr id="30" name="Graphic 30" descr="Watering Pl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Graphic 24" descr="Watering Plant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265C" w14:paraId="0D1FFC64" w14:textId="5EB09614" w:rsidTr="008D265C">
        <w:tc>
          <w:tcPr>
            <w:tcW w:w="1667" w:type="pct"/>
            <w:vAlign w:val="center"/>
          </w:tcPr>
          <w:p w14:paraId="18DEE49D" w14:textId="4D27C2D5" w:rsidR="008D265C" w:rsidRDefault="000A0ECD" w:rsidP="008D265C">
            <w:pPr>
              <w:spacing w:after="160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REFLECT</w:t>
            </w:r>
          </w:p>
        </w:tc>
        <w:tc>
          <w:tcPr>
            <w:tcW w:w="1667" w:type="pct"/>
            <w:vAlign w:val="center"/>
          </w:tcPr>
          <w:p w14:paraId="39F52883" w14:textId="12752316" w:rsidR="008D265C" w:rsidRDefault="008D265C" w:rsidP="008D265C">
            <w:pPr>
              <w:spacing w:after="160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EVALUATE</w:t>
            </w:r>
          </w:p>
        </w:tc>
        <w:tc>
          <w:tcPr>
            <w:tcW w:w="1667" w:type="pct"/>
            <w:vAlign w:val="center"/>
          </w:tcPr>
          <w:p w14:paraId="377A5E86" w14:textId="6D44EF81" w:rsidR="008D265C" w:rsidRDefault="008D265C" w:rsidP="008D265C">
            <w:pPr>
              <w:spacing w:after="160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IMPLEMENT</w:t>
            </w:r>
          </w:p>
        </w:tc>
      </w:tr>
      <w:tr w:rsidR="008D265C" w14:paraId="601FC9B0" w14:textId="6C890BAD" w:rsidTr="008D265C">
        <w:tc>
          <w:tcPr>
            <w:tcW w:w="1667" w:type="pct"/>
            <w:vAlign w:val="center"/>
          </w:tcPr>
          <w:p w14:paraId="1F2230CB" w14:textId="74990029" w:rsidR="008D265C" w:rsidRPr="008D265C" w:rsidRDefault="00FA06C7" w:rsidP="008D265C">
            <w:pPr>
              <w:spacing w:after="16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E</w:t>
            </w:r>
            <w:r w:rsidRPr="000629C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xamin</w:t>
            </w:r>
            <w:r w:rsidR="000A0EC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e</w:t>
            </w:r>
            <w:r w:rsidRPr="000629C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r w:rsidR="000A0EC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how </w:t>
            </w:r>
            <w:r w:rsidRPr="000629C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internal priorities and actions overlap with antiracism, diversity, inclusion, representation, and equity</w:t>
            </w:r>
            <w:r w:rsidR="000A0EC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.</w:t>
            </w:r>
          </w:p>
        </w:tc>
        <w:tc>
          <w:tcPr>
            <w:tcW w:w="1667" w:type="pct"/>
            <w:vAlign w:val="center"/>
          </w:tcPr>
          <w:p w14:paraId="7DB69284" w14:textId="1D5E5E40" w:rsidR="008D265C" w:rsidRPr="008D265C" w:rsidRDefault="000A0ECD" w:rsidP="008D265C">
            <w:pPr>
              <w:spacing w:after="16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Evaluate</w:t>
            </w:r>
            <w:r w:rsidR="00FA06C7" w:rsidRPr="000629C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our </w:t>
            </w:r>
            <w:r w:rsidR="006B232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principles and practices</w:t>
            </w:r>
            <w:r w:rsidR="004854D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in partnership with our community.</w:t>
            </w:r>
          </w:p>
        </w:tc>
        <w:tc>
          <w:tcPr>
            <w:tcW w:w="1667" w:type="pct"/>
            <w:vAlign w:val="center"/>
          </w:tcPr>
          <w:p w14:paraId="6091D33F" w14:textId="685F54B2" w:rsidR="008D265C" w:rsidRPr="008D265C" w:rsidRDefault="00FA06C7" w:rsidP="008D265C">
            <w:pPr>
              <w:spacing w:after="16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I</w:t>
            </w:r>
            <w:r w:rsidRPr="000629C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ntentionally and publicly integrat</w:t>
            </w:r>
            <w:r w:rsidR="000A0EC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e</w:t>
            </w:r>
            <w:r w:rsidRPr="000629C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these practices into our programming, mission, and vision</w:t>
            </w:r>
            <w:r w:rsidR="000A0EC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.</w:t>
            </w:r>
          </w:p>
        </w:tc>
      </w:tr>
    </w:tbl>
    <w:p w14:paraId="77358575" w14:textId="77777777" w:rsidR="008D265C" w:rsidRDefault="008D265C" w:rsidP="000629C6">
      <w:pPr>
        <w:spacing w:after="16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5F61B05E" w14:textId="2CB51D31" w:rsidR="00A7448B" w:rsidRDefault="00A7448B"/>
    <w:sectPr w:rsidR="00A7448B" w:rsidSect="000629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5D97C" w14:textId="77777777" w:rsidR="00B36CF5" w:rsidRDefault="00B36CF5" w:rsidP="00FA06C7">
      <w:pPr>
        <w:spacing w:line="240" w:lineRule="auto"/>
      </w:pPr>
      <w:r>
        <w:separator/>
      </w:r>
    </w:p>
  </w:endnote>
  <w:endnote w:type="continuationSeparator" w:id="0">
    <w:p w14:paraId="1907C9A6" w14:textId="77777777" w:rsidR="00B36CF5" w:rsidRDefault="00B36CF5" w:rsidP="00FA06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00BE8" w14:textId="77777777" w:rsidR="00B36CF5" w:rsidRDefault="00B36CF5" w:rsidP="00FA06C7">
      <w:pPr>
        <w:spacing w:line="240" w:lineRule="auto"/>
      </w:pPr>
      <w:r>
        <w:separator/>
      </w:r>
    </w:p>
  </w:footnote>
  <w:footnote w:type="continuationSeparator" w:id="0">
    <w:p w14:paraId="0328F301" w14:textId="77777777" w:rsidR="00B36CF5" w:rsidRDefault="00B36CF5" w:rsidP="00FA06C7">
      <w:pPr>
        <w:spacing w:line="240" w:lineRule="auto"/>
      </w:pPr>
      <w:r>
        <w:continuationSeparator/>
      </w:r>
    </w:p>
  </w:footnote>
  <w:footnote w:id="1">
    <w:p w14:paraId="48DFEDC7" w14:textId="38D014BF" w:rsidR="00FA06C7" w:rsidRPr="00FA06C7" w:rsidRDefault="00FA06C7">
      <w:pPr>
        <w:pStyle w:val="FootnoteText"/>
        <w:rPr>
          <w:rFonts w:ascii="Arial" w:hAnsi="Arial" w:cs="Arial"/>
          <w:sz w:val="16"/>
          <w:szCs w:val="16"/>
        </w:rPr>
      </w:pPr>
      <w:r w:rsidRPr="00FA06C7">
        <w:rPr>
          <w:rStyle w:val="FootnoteReference"/>
          <w:rFonts w:ascii="Arial" w:hAnsi="Arial" w:cs="Arial"/>
          <w:sz w:val="16"/>
          <w:szCs w:val="16"/>
        </w:rPr>
        <w:footnoteRef/>
      </w:r>
      <w:r w:rsidRPr="00FA06C7">
        <w:rPr>
          <w:rFonts w:ascii="Arial" w:hAnsi="Arial" w:cs="Arial"/>
          <w:sz w:val="16"/>
          <w:szCs w:val="16"/>
        </w:rPr>
        <w:t xml:space="preserve"> </w:t>
      </w:r>
      <w:r w:rsidR="004854D0">
        <w:rPr>
          <w:rFonts w:ascii="Arial" w:hAnsi="Arial" w:cs="Arial"/>
          <w:sz w:val="16"/>
          <w:szCs w:val="16"/>
        </w:rPr>
        <w:t xml:space="preserve">Antiracism is defined as the belief that racial groups are equal and none need developing (cf. </w:t>
      </w:r>
      <w:proofErr w:type="spellStart"/>
      <w:r w:rsidR="004854D0">
        <w:rPr>
          <w:rFonts w:ascii="Arial" w:hAnsi="Arial" w:cs="Arial"/>
          <w:sz w:val="16"/>
          <w:szCs w:val="16"/>
        </w:rPr>
        <w:t>Kendi</w:t>
      </w:r>
      <w:proofErr w:type="spellEnd"/>
      <w:r w:rsidR="004854D0">
        <w:rPr>
          <w:rFonts w:ascii="Arial" w:hAnsi="Arial" w:cs="Arial"/>
          <w:sz w:val="16"/>
          <w:szCs w:val="16"/>
        </w:rPr>
        <w:t>, I. X.</w:t>
      </w:r>
      <w:r w:rsidR="004854D0">
        <w:rPr>
          <w:rFonts w:ascii="Arial" w:hAnsi="Arial" w:cs="Arial"/>
          <w:color w:val="000000"/>
          <w:sz w:val="16"/>
          <w:szCs w:val="16"/>
        </w:rPr>
        <w:t xml:space="preserve"> (2019).</w:t>
      </w:r>
      <w:r w:rsidRPr="00FA06C7">
        <w:rPr>
          <w:rFonts w:ascii="Arial" w:hAnsi="Arial" w:cs="Arial"/>
          <w:color w:val="000000"/>
          <w:sz w:val="16"/>
          <w:szCs w:val="16"/>
        </w:rPr>
        <w:t xml:space="preserve"> </w:t>
      </w:r>
      <w:hyperlink r:id="rId1" w:history="1">
        <w:r w:rsidRPr="00FA06C7">
          <w:rPr>
            <w:rStyle w:val="Hyperlink"/>
            <w:rFonts w:ascii="Arial" w:hAnsi="Arial" w:cs="Arial"/>
            <w:color w:val="1155CC"/>
            <w:sz w:val="16"/>
            <w:szCs w:val="16"/>
          </w:rPr>
          <w:t>How to Be an Antiracist</w:t>
        </w:r>
      </w:hyperlink>
      <w:r w:rsidR="006B2321">
        <w:rPr>
          <w:rFonts w:ascii="Arial" w:hAnsi="Arial" w:cs="Arial"/>
          <w:sz w:val="16"/>
          <w:szCs w:val="16"/>
        </w:rPr>
        <w:t xml:space="preserve"> (pp. 24)</w:t>
      </w:r>
      <w:r w:rsidR="004854D0">
        <w:rPr>
          <w:rFonts w:ascii="Arial" w:hAnsi="Arial" w:cs="Arial"/>
          <w:sz w:val="16"/>
          <w:szCs w:val="16"/>
        </w:rPr>
        <w:t xml:space="preserve">. </w:t>
      </w:r>
      <w:r w:rsidR="006B2321">
        <w:rPr>
          <w:rFonts w:ascii="Arial" w:hAnsi="Arial" w:cs="Arial"/>
          <w:sz w:val="16"/>
          <w:szCs w:val="16"/>
        </w:rPr>
        <w:t xml:space="preserve">New York: </w:t>
      </w:r>
      <w:r w:rsidRPr="00FA06C7">
        <w:rPr>
          <w:rFonts w:ascii="Arial" w:hAnsi="Arial" w:cs="Arial"/>
          <w:color w:val="000000"/>
          <w:sz w:val="16"/>
          <w:szCs w:val="16"/>
        </w:rPr>
        <w:t>One Worl</w:t>
      </w:r>
      <w:r w:rsidR="006B2321">
        <w:rPr>
          <w:rFonts w:ascii="Arial" w:hAnsi="Arial" w:cs="Arial"/>
          <w:color w:val="000000"/>
          <w:sz w:val="16"/>
          <w:szCs w:val="16"/>
        </w:rPr>
        <w:t>d</w:t>
      </w:r>
      <w:r w:rsidRPr="00FA06C7">
        <w:rPr>
          <w:rFonts w:ascii="Arial" w:hAnsi="Arial" w:cs="Arial"/>
          <w:color w:val="000000"/>
          <w:sz w:val="16"/>
          <w:szCs w:val="16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940C6"/>
    <w:multiLevelType w:val="multilevel"/>
    <w:tmpl w:val="767E4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3C3049"/>
    <w:multiLevelType w:val="multilevel"/>
    <w:tmpl w:val="21FAC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F13604"/>
    <w:multiLevelType w:val="multilevel"/>
    <w:tmpl w:val="D9F8A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9C6"/>
    <w:rsid w:val="000629C6"/>
    <w:rsid w:val="000A0ECD"/>
    <w:rsid w:val="004854D0"/>
    <w:rsid w:val="00496C90"/>
    <w:rsid w:val="006B2321"/>
    <w:rsid w:val="006C44C7"/>
    <w:rsid w:val="0072303B"/>
    <w:rsid w:val="008D265C"/>
    <w:rsid w:val="009223A5"/>
    <w:rsid w:val="00A458D0"/>
    <w:rsid w:val="00A7448B"/>
    <w:rsid w:val="00B3221D"/>
    <w:rsid w:val="00B36CF5"/>
    <w:rsid w:val="00BA5B1E"/>
    <w:rsid w:val="00D009BF"/>
    <w:rsid w:val="00FA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07A3E"/>
  <w15:chartTrackingRefBased/>
  <w15:docId w15:val="{9AFD2BEF-7B25-4E77-B2AA-9F402C9B6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9BF"/>
    <w:pPr>
      <w:spacing w:after="0"/>
    </w:pPr>
    <w:rPr>
      <w:rFonts w:ascii="Open Sans" w:hAnsi="Open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62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A06C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06C7"/>
    <w:rPr>
      <w:rFonts w:ascii="Open Sans" w:hAnsi="Open Sans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06C7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FA06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54D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4C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4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6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sv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bramxkendi.com/how-to-be-an-antiracist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1792C-2B4E-4D28-A096-DDBE22A04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270</Words>
  <Characters>1543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Nolton</dc:creator>
  <cp:keywords/>
  <dc:description/>
  <cp:lastModifiedBy>Patricia Moore Shaffer</cp:lastModifiedBy>
  <cp:revision>2</cp:revision>
  <dcterms:created xsi:type="dcterms:W3CDTF">2020-08-15T18:24:00Z</dcterms:created>
  <dcterms:modified xsi:type="dcterms:W3CDTF">2020-08-15T18:24:00Z</dcterms:modified>
</cp:coreProperties>
</file>